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PRESTRESSED GROUND ANCHOR AND TIEBACK INSTALLATION</w:t>
      </w:r>
    </w:p>
    <w:p>
      <w:pPr>
        <w:spacing w:after="480"/>
      </w:pPr>
      <w:r>
        <w:rPr>
          <w:rFonts w:ascii="Aptos" w:hAnsi="Aptos"/>
          <w:b w:val="0"/>
          <w:color w:val="5E6B78"/>
          <w:sz w:val="26"/>
        </w:rPr>
        <w:t>Ground Anchor dan Tieback</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MS-SRS-005</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prestressed ground anchor and tieback installation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prestressed ground anchor and tieback installation.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Prestressing strands or bars</w:t>
      </w:r>
    </w:p>
    <w:p>
      <w:pPr>
        <w:pStyle w:val="ListBullet"/>
        <w:spacing w:after="50"/>
        <w:ind w:left="369" w:hanging="170"/>
      </w:pPr>
      <w:r>
        <w:rPr>
          <w:rFonts w:ascii="Aptos" w:hAnsi="Aptos"/>
          <w:b w:val="0"/>
          <w:color w:val="263442"/>
          <w:sz w:val="19"/>
        </w:rPr>
        <w:t>Cement grout</w:t>
      </w:r>
    </w:p>
    <w:p>
      <w:pPr>
        <w:pStyle w:val="ListBullet"/>
        <w:spacing w:after="50"/>
        <w:ind w:left="369" w:hanging="170"/>
      </w:pPr>
      <w:r>
        <w:rPr>
          <w:rFonts w:ascii="Aptos" w:hAnsi="Aptos"/>
          <w:b w:val="0"/>
          <w:color w:val="263442"/>
          <w:sz w:val="19"/>
        </w:rPr>
        <w:t>Sheathing and corrosion protection</w:t>
      </w:r>
    </w:p>
    <w:p>
      <w:pPr>
        <w:pStyle w:val="ListBullet"/>
        <w:spacing w:after="50"/>
        <w:ind w:left="369" w:hanging="170"/>
      </w:pPr>
      <w:r>
        <w:rPr>
          <w:rFonts w:ascii="Aptos" w:hAnsi="Aptos"/>
          <w:b w:val="0"/>
          <w:color w:val="263442"/>
          <w:sz w:val="19"/>
        </w:rPr>
        <w:t>Anchor heads</w:t>
      </w:r>
    </w:p>
    <w:p>
      <w:pPr>
        <w:pStyle w:val="ListBullet"/>
        <w:spacing w:after="50"/>
        <w:ind w:left="369" w:hanging="170"/>
      </w:pPr>
      <w:r>
        <w:rPr>
          <w:rFonts w:ascii="Aptos" w:hAnsi="Aptos"/>
          <w:b w:val="0"/>
          <w:color w:val="263442"/>
          <w:sz w:val="19"/>
        </w:rPr>
        <w:t>Bearing plates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Anchor drilling rig</w:t>
      </w:r>
    </w:p>
    <w:p>
      <w:pPr>
        <w:pStyle w:val="ListBullet"/>
        <w:spacing w:after="50"/>
        <w:ind w:left="369" w:hanging="170"/>
      </w:pPr>
      <w:r>
        <w:rPr>
          <w:rFonts w:ascii="Aptos" w:hAnsi="Aptos"/>
          <w:b w:val="0"/>
          <w:color w:val="263442"/>
          <w:sz w:val="19"/>
        </w:rPr>
        <w:t>Grout mixer and pump</w:t>
      </w:r>
    </w:p>
    <w:p>
      <w:pPr>
        <w:pStyle w:val="ListBullet"/>
        <w:spacing w:after="50"/>
        <w:ind w:left="369" w:hanging="170"/>
      </w:pPr>
      <w:r>
        <w:rPr>
          <w:rFonts w:ascii="Aptos" w:hAnsi="Aptos"/>
          <w:b w:val="0"/>
          <w:color w:val="263442"/>
          <w:sz w:val="19"/>
        </w:rPr>
        <w:t>Stressing jack</w:t>
      </w:r>
    </w:p>
    <w:p>
      <w:pPr>
        <w:pStyle w:val="ListBullet"/>
        <w:spacing w:after="50"/>
        <w:ind w:left="369" w:hanging="170"/>
      </w:pPr>
      <w:r>
        <w:rPr>
          <w:rFonts w:ascii="Aptos" w:hAnsi="Aptos"/>
          <w:b w:val="0"/>
          <w:color w:val="263442"/>
          <w:sz w:val="19"/>
        </w:rPr>
        <w:t>Calibrated gauges</w:t>
      </w:r>
    </w:p>
    <w:p>
      <w:pPr>
        <w:pStyle w:val="ListBullet"/>
        <w:spacing w:after="50"/>
        <w:ind w:left="369" w:hanging="170"/>
      </w:pPr>
      <w:r>
        <w:rPr>
          <w:rFonts w:ascii="Aptos" w:hAnsi="Aptos"/>
          <w:b w:val="0"/>
          <w:color w:val="263442"/>
          <w:sz w:val="19"/>
        </w:rPr>
        <w:t>Proof-test instruments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prestressed ground anchor and tieback installation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Prestressing strands or bars, Cement grout, Sheathing and corrosion protection, Anchor heads, Bearing plates.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anchor geometry. </w:t>
      </w:r>
      <w:r>
        <w:rPr>
          <w:rFonts w:ascii="Aptos" w:hAnsi="Aptos"/>
          <w:b w:val="0"/>
          <w:color w:val="263442"/>
          <w:sz w:val="19"/>
        </w:rPr>
        <w:t>Approve anchor geometry, bond length, free length, easements, drilling method, test load and stressing sequence.</w:t>
      </w:r>
    </w:p>
    <w:p>
      <w:pPr>
        <w:keepLines/>
        <w:spacing w:after="100" w:line="269" w:lineRule="auto"/>
        <w:ind w:left="369" w:hanging="369"/>
      </w:pPr>
      <w:r>
        <w:rPr>
          <w:rFonts w:ascii="Aptos" w:hAnsi="Aptos"/>
          <w:b/>
          <w:color w:val="071E33"/>
          <w:sz w:val="19"/>
        </w:rPr>
        <w:t xml:space="preserve">2. Survey the anchor position. </w:t>
      </w:r>
      <w:r>
        <w:rPr>
          <w:rFonts w:ascii="Aptos" w:hAnsi="Aptos"/>
          <w:b w:val="0"/>
          <w:color w:val="263442"/>
          <w:sz w:val="19"/>
        </w:rPr>
        <w:t>Survey the anchor position and drill to inclination and length while recording strata, losses and returns.</w:t>
      </w:r>
    </w:p>
    <w:p>
      <w:pPr>
        <w:keepLines/>
        <w:spacing w:after="100" w:line="269" w:lineRule="auto"/>
        <w:ind w:left="369" w:hanging="369"/>
      </w:pPr>
      <w:r>
        <w:rPr>
          <w:rFonts w:ascii="Aptos" w:hAnsi="Aptos"/>
          <w:b/>
          <w:color w:val="071E33"/>
          <w:sz w:val="19"/>
        </w:rPr>
        <w:t xml:space="preserve">3. Clean the bore. </w:t>
      </w:r>
      <w:r>
        <w:rPr>
          <w:rFonts w:ascii="Aptos" w:hAnsi="Aptos"/>
          <w:b w:val="0"/>
          <w:color w:val="263442"/>
          <w:sz w:val="19"/>
        </w:rPr>
        <w:t>Clean the bore, install the assembled tendon with spacers and verify free-length and corrosion-protection details.</w:t>
      </w:r>
    </w:p>
    <w:p>
      <w:pPr>
        <w:keepLines/>
        <w:spacing w:after="100" w:line="269" w:lineRule="auto"/>
        <w:ind w:left="369" w:hanging="369"/>
      </w:pPr>
      <w:r>
        <w:rPr>
          <w:rFonts w:ascii="Aptos" w:hAnsi="Aptos"/>
          <w:b/>
          <w:color w:val="071E33"/>
          <w:sz w:val="19"/>
        </w:rPr>
        <w:t xml:space="preserve">4. Grout the bond zone from the base with controlled pressure. </w:t>
      </w:r>
      <w:r>
        <w:rPr>
          <w:rFonts w:ascii="Aptos" w:hAnsi="Aptos"/>
          <w:b w:val="0"/>
          <w:color w:val="263442"/>
          <w:sz w:val="19"/>
        </w:rPr>
        <w:t>Grout the bond zone from the base with controlled pressure and volume, then complete secondary grouting if specified.</w:t>
      </w:r>
    </w:p>
    <w:p>
      <w:pPr>
        <w:keepLines/>
        <w:spacing w:after="100" w:line="269" w:lineRule="auto"/>
        <w:ind w:left="369" w:hanging="369"/>
      </w:pPr>
      <w:r>
        <w:rPr>
          <w:rFonts w:ascii="Aptos" w:hAnsi="Aptos"/>
          <w:b/>
          <w:color w:val="071E33"/>
          <w:sz w:val="19"/>
        </w:rPr>
        <w:t xml:space="preserve">5. After grout strength release. </w:t>
      </w:r>
      <w:r>
        <w:rPr>
          <w:rFonts w:ascii="Aptos" w:hAnsi="Aptos"/>
          <w:b w:val="0"/>
          <w:color w:val="263442"/>
          <w:sz w:val="19"/>
        </w:rPr>
        <w:t>After grout strength release, proof-test and stress each anchor in calibrated load increments with movement readings.</w:t>
      </w:r>
    </w:p>
    <w:p>
      <w:pPr>
        <w:keepLines/>
        <w:spacing w:after="100" w:line="269" w:lineRule="auto"/>
        <w:ind w:left="369" w:hanging="369"/>
      </w:pPr>
      <w:r>
        <w:rPr>
          <w:rFonts w:ascii="Aptos" w:hAnsi="Aptos"/>
          <w:b/>
          <w:color w:val="071E33"/>
          <w:sz w:val="19"/>
        </w:rPr>
        <w:t xml:space="preserve">6. Lock off at the approved load. </w:t>
      </w:r>
      <w:r>
        <w:rPr>
          <w:rFonts w:ascii="Aptos" w:hAnsi="Aptos"/>
          <w:b w:val="0"/>
          <w:color w:val="263442"/>
          <w:sz w:val="19"/>
        </w:rPr>
        <w:t>Lock off at the approved load, protect the head and monitor load and wall movement during excavation.</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anchor design and access; hole geometry; tendon assembly; grout record; proof test and stressing; lock-off and monitoring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stored prestress energy; high-pressure grout; drill instability; off-site encroachment; anchor pull-out.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Anchor design and access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Hole geometry</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Tendon assembly</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Grout record</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Proof test and stressing</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Lock-off and monitoring</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Stored prestress energy</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High-pressure grout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Drill instability</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Off-site encroachment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Anchor pull-out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MS-SRS-005</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Prestressed Ground Anchor and Tieback Installation</dc:title>
  <dc:subject>Editable construction method statement template</dc:subject>
  <dc:creator>Method Statement Hub Malaysia</dc:creator>
  <cp:keywords>ground anchor, tieback, prestressed anchor, retaining structure</cp:keywords>
  <dc:description>generated by python-docx</dc:description>
  <cp:lastModifiedBy/>
  <cp:revision>1</cp:revision>
  <dcterms:created xsi:type="dcterms:W3CDTF">2013-12-23T23:15:00Z</dcterms:created>
  <dcterms:modified xsi:type="dcterms:W3CDTF">2013-12-23T23:15:00Z</dcterms:modified>
  <cp:category/>
</cp:coreProperties>
</file>